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351</w:t>
      </w:r>
    </w:p>
    <w:p>
      <w:r>
        <w:t>Bundesgericht (BGE), 2012-12-21, DE</w:t>
      </w:r>
    </w:p>
    <w:p>
      <w:r>
        <w:rPr>
          <w:b/>
        </w:rPr>
        <w:t xml:space="preserve">Quelle: </w:t>
      </w:r>
      <w:r>
        <w:t>https://mcp.opencaselaw.ch/entscheid/bge_141 V 351</w:t>
      </w:r>
    </w:p>
    <w:p>
      <w:r>
        <w:t>FR: ATF 141 V 351</w:t>
      </w:r>
    </w:p>
    <w:p>
      <w:r>
        <w:t>IT: DTF 141 V 351</w:t>
      </w:r>
    </w:p>
    <w:p>
      <w:pPr>
        <w:pStyle w:val="Heading2"/>
      </w:pPr>
      <w:r>
        <w:t>Regeste</w:t>
      </w:r>
    </w:p>
    <w:p>
      <w:r>
        <w:t>Regeste Art. 34a Abs. 1 BVG; Art. 24 Abs. 1 und 2 BVV 2; Anrechenbarkeit von Soziallohnkomponenten im Rahmen der Überentschädigungsberechnung. Im Sinne der gesetzlichen Konzeption der weitgehenden materiellrechtlichen Koordination zwischen erster und zweiter Säule werden Soziallohnkomponenten im Rahmen der Überentschädigungsberechnung nach Art. 24 BVV 2 - wie bei der Invaliditätsbemessung nach Art. 16 ATSG - nicht angerechnet (E. 5).</w:t>
      </w:r>
    </w:p>
    <w:p>
      <w:pPr>
        <w:pStyle w:val="Heading2"/>
      </w:pPr>
      <w:r>
        <w:t>Erwägungen</w:t>
      </w:r>
    </w:p>
    <w:p>
      <w:r>
        <w:rPr>
          <w:b/>
        </w:rPr>
        <w:t>E. 4</w:t>
      </w:r>
    </w:p>
    <w:p>
      <w:r>
        <w:t>Vorerst ist zu prüfen, ob die in den Jahren 2011 bis 2013 von der B. GmbH an den Beschwerdegegner ausbezahlten Gehälter Soziallohnkomponenten enthalten.</w:t>
      </w:r>
    </w:p>
    <w:p>
      <w:r>
        <w:rPr>
          <w:b/>
        </w:rPr>
        <w:t>E. 4.1</w:t>
      </w:r>
    </w:p>
    <w:p>
      <w:r>
        <w:t>Das kantonale Gericht hat festgestellt, dass der Beschwerdegegner seit dem Unfall im Jahre 2007 nachweislich in seiner Arbeitsfähigkeit für die angestammte Tätigkeit als Geschäftsführer der B. GmbH zu 40 % eingeschränkt und seither keine Verbesserung des Gesundheitszustandes eingetreten ist. Dass diese Feststellungen BGE 141 V 351 S. 353 offensichtlich unrichtig sein oder auf einer Rechtsverletzung beruhen sollen, ist weder ersichtlich noch wird dies geltend gemacht. Somit bleiben sie für das Bundesgericht verbindlich (nicht publ. E. 1.3).</w:t>
      </w:r>
    </w:p>
    <w:p>
      <w:r>
        <w:rPr>
          <w:b/>
        </w:rPr>
        <w:t>E. 4.2</w:t>
      </w:r>
    </w:p>
    <w:p>
      <w:r>
        <w:t>Die Beschwerdeführerin wendet zu Recht ein, dass ausbezahlte Löhne in der Regel das Äquivalent einer entsprechenden Arbeitsleistung darstellen und an den Nachweis von Soziallohn praxisgemäss hohe Anforderungen zu stellen sind ( BGE 117 V 8 E. 2c S. 18). Soweit das kantonale Gericht das Vorliegen einer Soziallohnkomponente damit begründet, den weiterhin ausgerichteten vollen Lohnzahlungen durch die B. GmbH könne aufgrund erstellter gesundheitlicher Einschränkungen in der angestammten Tätigkeit (vgl. E. 4.1 hievor) keine äquivalente Arbeitsleistung gegenüberstehen, vermag dieser lediglich auf einer Vermutung basierende Schluss den Beweisanforderungen nicht zu genügen. Dasselbe gilt in Bezug auf die weiteren - ebenfalls auf blosser Vermutung basierenden - Erwägungen, wonach sich der Beschwerdegegner wohl mittels höherer Lohnauszahlungen sowohl die durch Warte- bzw. Abklärungszeiten bedingte zeitlich verzögerte Leistungszusprache als auch die betraglich im Vergleich zum Erwerbslohn tieferen Ersatzeinkommen habe ausgleichen wollen, indem er sich vor und nach dem Unfall vom 14. November 2007 ununterbrochen Lohnzahlungen in vollem Umfang habe ausbezahlen lassen.</w:t>
      </w:r>
    </w:p>
    <w:p>
      <w:r>
        <w:rPr>
          <w:b/>
        </w:rPr>
        <w:t>E. 4.3</w:t>
      </w:r>
    </w:p>
    <w:p>
      <w:r>
        <w:t>Dennoch ist das kantonale Gericht im Ergebnis zutreffend von einer Soziallohnkomponente ausgegangen. Von Bedeutung ist in diesem Zusammenhang die ausgeprägte wirtschaftliche Nähe zwischen dem Beschwerdegegner und seiner Arbeitgeberin: Ersterer ist wirtschaftlich beherrschender Gesellschafter der B. GmbH und gleichzeitig deren angestellter Geschäftsführer. Die Auswirkungen dieser engen Verflechtung zeigen sich unter anderem im Umstand, dass sich der Beschwerdegegner die Rentenzahlungen der Invalidenversicherung nicht auf ein persönliches, auf seinen Namen lautendes Privatkonto, sondern auf ein solches seiner Arbeitgeberin überweisen lässt. Auch die von der Beschwerdeführerin in den Jahren 2008 und 2012 an den Gesamtschaden vorgängig geleisteten Akontozahlungen in Höhe von Fr. 15'000.- und Fr. 40'000.- wurden direkt auf das Konto der Arbeitgeberin überwiesen. Trotzdem weist, wie sich aus den Akten ergibt, die Erfolgsrechnung der Gesellschaft für die Jahre 2004 bis 2009 ein deutlich schlechteres Unternehmensergebnis seit dem Unfall im November 2007 aus. Dazu kommt, dass die GmbH des Beschwerdegegners - anstatt weiterhin den vollen BGE 141 V 351 S. 354 Lohn auszubezahlen - auch mehr Dividende hätte ausschütten können, damit der Beschwerdegegner nach wie vor über (gleich) hohe Einnahmen verfügt. Die Weiterausrichtung des vollen Lohnes hat für diesen aber den Vorteil, dass er regelmässig - monatlich - über das Geld verfügen kann. Eine Dividende fliesst demgegenüber einmal im Jahr und ihre Höhe ist nicht gesichert. Die Art der Entschädigung liegt - soweit gesetzeskonform - in der unternehmerischen Freiheit des geschäftsführenden Beschwerdegegners. Somit sind - neben der wirtschaftlichen Nähe der GmbH zum Beschwerdegegner - der deutliche Einbruch des Unternehmensergebnisses und die (monatliche) Auszahlungsform ausreichende Beweise für das Vorliegen einer Soziallohnkomponente.</w:t>
      </w:r>
    </w:p>
    <w:p>
      <w:r>
        <w:rPr>
          <w:b/>
        </w:rPr>
        <w:t>E. 4.4</w:t>
      </w:r>
    </w:p>
    <w:p>
      <w:r>
        <w:t>Entgegen den vorinstanzlichen Erwägungen richtet sich die Anrechenbarkeit des zumutbarerweise noch erzielbaren Erwerbseinkommens nicht nach der Resterwerbsfähigkeit, sondern nach der Restarbeitsfähigkeit ( BGE 137 V 20 E. 5.2.2 S. 27). Folglich entspricht das anrechenbare Erwerbseinkommen nicht 53 % des ausbezahlten Gehaltes, sondern 60 %. Die damit bei der Überentschädigungsberechnung einhergehende Erhöhung des Totals anrechenbarer Einnahmen vermag am Ergebnis einer fehlenden Überentschädigung jedoch nichts zu ändern.</w:t>
      </w:r>
    </w:p>
    <w:p>
      <w:r>
        <w:rPr>
          <w:b/>
        </w:rPr>
        <w:t>E. 5</w:t>
      </w:r>
    </w:p>
    <w:p>
      <w:r>
        <w:t>Nachdem feststeht, dass der von der B. GmbH an den Beschwerdegegner ausbezahlte Lohn eine Soziallohnkomponente von 40 % enthält (vgl. E. 4 hievor), stellt sich die Frage, ob diese - wie bei der Invaliditätsbemessung - auch bei der Überentschädigungsregelung als ein Nonvaleur zu betrachten ist.</w:t>
      </w:r>
    </w:p>
    <w:p>
      <w:r>
        <w:rPr>
          <w:b/>
        </w:rPr>
        <w:t>E. 5.1</w:t>
      </w:r>
    </w:p>
    <w:p>
      <w:r>
        <w:t>Nach der gesetzlichen Konzeption der Invalidenleistungen aus der ersten und zweiten Säule sind die Festlegungen der IV-Stelle bezüglich Entstehung, Höhe und Beginn des Rentenanspruches grundsätzlich für die Invalidenrente der obligatorischen beruflichen Vorsorge massgebend und verbindlich, weshalb das im invalidenversicherungsrechtlichen Verfahren festgelegte Invalideneinkommen dem Grundsatz nach auch in der berufsvorsorgerechtlichen Überentschädigungsberechnung Berücksichtigung finden muss ( BGE 134 V 64 E. 4.1.3 S. 70). Im Sinne dieser Koordination ist nicht ersichtlich, weshalb Soziallohnkomponenten zum einen im Rahmen der Festlegung des Invalideneinkommens unberücksichtigt bleiben sollten, umgekehrt jedoch im Rahmen der Überentschädigungsberechnung vollumfänglich angerechnet werden sollten. BGE 141 V 351 S. 355</w:t>
      </w:r>
    </w:p>
    <w:p>
      <w:r>
        <w:rPr>
          <w:b/>
        </w:rPr>
        <w:t>E. 5.2</w:t>
      </w:r>
    </w:p>
    <w:p>
      <w:r>
        <w:t>Die vom BSV vorgebrachten Bedenken, die Nichtanrechnung allfälliger Soziallohnkomponenten im Rahmen der Überentschädigungsregelung gemäss Art. 24 Abs. 2 der Verordnung vom 18. April 1984 über die berufliche Alters-, Hinterlassenen- und Invalidenvorsorge (BVV 2; SR 831.441.1) würde dazu führen, dass die invalide Person über ein höheres Einkommen verfügen könnte, als sie ohne Invalidität zu erzielen im Stande wäre, bestehen in gleicher Weise bei der Invaliditätsbemessung nach Art. 16 ATSG (SR 830.1) und rechtfertigen folglich keine abweichende Behandlung. Gleiches hat für den Umstand zu gelten, dass - wie das BSV einwendet - für die Bestimmung des Invaliditätsgrades auf den ausgeglichenen Arbeitsmarkt abgestellt wird, wohingegen im Rahmen der Überentschädigungsregelung die gesamten objektiven und subjektiven Umstände, auch in arbeitsmarktrechtlicher Hinsicht, zu berücksichtigen sind. So dient das Abstellen auf den ausgeglichenen Arbeitsmarkt gemäss Art. 16 ATSG dazu, den Leistungsbereich der Invalidenversicherung von jenem der Arbeitslosenversicherung abzugrenzen (Urteil 9C_192/2014 vom 23. September 2014 E. 3.1).</w:t>
      </w:r>
    </w:p>
    <w:p>
      <w:r>
        <w:rPr>
          <w:b/>
        </w:rPr>
        <w:t>E. 5.3</w:t>
      </w:r>
    </w:p>
    <w:p>
      <w:r>
        <w:t>Die Vorinstanz hat folglich in Bezug auf den Soziallohnanteil ein anrechnungspflichtiges Erwerbseinkommen zu Recht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